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outlineLvl w:val="0"/>
        <w:rPr>
          <w:rFonts w:eastAsia="Times New Roman"/>
          <w:b/>
          <w:bCs/>
          <w:kern w:val="36"/>
          <w:sz w:val="48"/>
          <w:szCs w:val="48"/>
          <w:lang w:eastAsia="sk-SK"/>
        </w:rPr>
      </w:pPr>
      <w:r>
        <w:rPr>
          <w:rFonts w:eastAsia="Times New Roman"/>
          <w:b/>
          <w:bCs/>
          <w:kern w:val="36"/>
          <w:sz w:val="48"/>
          <w:szCs w:val="48"/>
          <w:lang w:eastAsia="sk-SK"/>
        </w:rPr>
        <w:t>Ústredie práce, sociálnych vecí a rodiny prijíma opatrenia, cieľom ktorých je predísť šíreniu vírusu</w:t>
      </w:r>
    </w:p>
    <w:p>
      <w:pPr>
        <w:spacing w:before="100" w:beforeAutospacing="1" w:after="100" w:afterAutospacing="1"/>
        <w:rPr>
          <w:rFonts w:eastAsia="Times New Roman"/>
          <w:szCs w:val="24"/>
          <w:lang w:eastAsia="sk-SK"/>
        </w:rPr>
      </w:pPr>
      <w:r>
        <w:rPr>
          <w:rFonts w:eastAsia="Times New Roman"/>
          <w:b/>
          <w:bCs/>
          <w:szCs w:val="24"/>
          <w:u w:val="single"/>
          <w:lang w:eastAsia="sk-SK"/>
        </w:rPr>
        <w:t>Žiadame klientov úradov práce, sociálnych vecí a rodiny, aby dôkladne zvážili osobnú návštevu úradov a na komunikáciu využívali emailovú komunikáciu a telefonický kontakt.</w:t>
      </w:r>
    </w:p>
    <w:p>
      <w:pPr>
        <w:spacing w:before="100" w:beforeAutospacing="1" w:after="100" w:afterAutospacing="1"/>
        <w:rPr>
          <w:rFonts w:eastAsia="Times New Roman"/>
          <w:szCs w:val="24"/>
          <w:lang w:eastAsia="sk-SK"/>
        </w:rPr>
      </w:pPr>
      <w:r>
        <w:rPr>
          <w:rFonts w:eastAsia="Times New Roman"/>
          <w:b/>
          <w:bCs/>
          <w:szCs w:val="24"/>
          <w:lang w:eastAsia="sk-SK"/>
        </w:rPr>
        <w:t xml:space="preserve">Ak sa klient rozhodne doručiť písomné doklady osobne, úrad ich preberie v priestoroch recepcie alebo iných priestorov pri vchode do úradu. </w:t>
      </w:r>
    </w:p>
    <w:p>
      <w:pPr>
        <w:spacing w:before="100" w:beforeAutospacing="1" w:after="100" w:afterAutospacing="1"/>
        <w:rPr>
          <w:rFonts w:eastAsia="Times New Roman"/>
          <w:szCs w:val="24"/>
          <w:lang w:eastAsia="sk-SK"/>
        </w:rPr>
      </w:pPr>
      <w:r>
        <w:rPr>
          <w:rFonts w:eastAsia="Times New Roman"/>
          <w:b/>
          <w:bCs/>
          <w:szCs w:val="24"/>
          <w:u w:val="single"/>
          <w:lang w:eastAsia="sk-SK"/>
        </w:rPr>
        <w:t>Postupy v oblasti služieb zamestnanosti (evidencia na úradoch práce): </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úrad oznámi všetkým klientom a zamestnávateľom, ktorí majú určený kontakt na úrade v čase krízového režimu, že sa všetky termíny na úradoch práce odkladajú</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za osobné podanie žiadosti o zaradenie do evidencie budú úrady považovať žiadosť zaslanú e-mailom alebo poštou v lehote do 7 dní odo dňa skončenia zamestnania</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nedostavenie sa na kontakt v stanovenom termíne počas trvania krízovej situácie sa nepovažuje za porušenie povinností; ďalší termín pre uchádzača úrad určí písomne, a to listom, alebo e-mailom</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nepredloženie dohody o práci vykonávanej mimo pracovného pomeru počas trvania krízovej situácie sa nebude považovať za porušenie povinností</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nepredloženie rozhodných dokladov pre vedenie v evidencii vrátane dokladu o dočasnej práceneschopnosti a o ošetrovaní člena rodiny sa počas trvania krízovej situácie nebude považovať za porušenie povinností</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úrad preruší všetky pripravované výberové konania</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úrad preruší všetky plánované stretnutia so zamestnávateľmi, osobné návštevy u zamestnávateľov, burzy práce a výberové konania</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úrad preruší všetky informačno-poradenské služby aktivity pre uchádzačov</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úrad preruší výkon kontrol dodržiavania liečebného režimu.</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 xml:space="preserve">úrad preruší všetky aktivity zamerané na zvyšovanie </w:t>
      </w:r>
      <w:proofErr w:type="spellStart"/>
      <w:r>
        <w:rPr>
          <w:rFonts w:eastAsia="Times New Roman"/>
          <w:szCs w:val="24"/>
          <w:lang w:eastAsia="sk-SK"/>
        </w:rPr>
        <w:t>zamestnateľnosti</w:t>
      </w:r>
      <w:proofErr w:type="spellEnd"/>
      <w:r>
        <w:rPr>
          <w:rFonts w:eastAsia="Times New Roman"/>
          <w:szCs w:val="24"/>
          <w:lang w:eastAsia="sk-SK"/>
        </w:rPr>
        <w:t xml:space="preserve"> pre uchádzačov, t. j. prerušuje sa realizácia všetkých národných projektov, pri ktorých dochádza ku kontaktu s väčším počtom osôb, a všetci zapojení uchádzači o zamestnanie budú o pozastavení informovaní</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úrad preruší ponúkanie nových poradenských a vzdelávacích aktivít klientom</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úrad preruší vykonávanie aktivačných činností</w:t>
      </w:r>
    </w:p>
    <w:p>
      <w:pPr>
        <w:numPr>
          <w:ilvl w:val="0"/>
          <w:numId w:val="1"/>
        </w:numPr>
        <w:spacing w:before="100" w:beforeAutospacing="1" w:after="100" w:afterAutospacing="1"/>
        <w:rPr>
          <w:rFonts w:eastAsia="Times New Roman"/>
          <w:szCs w:val="24"/>
          <w:lang w:eastAsia="sk-SK"/>
        </w:rPr>
      </w:pPr>
      <w:r>
        <w:rPr>
          <w:rFonts w:eastAsia="Times New Roman"/>
          <w:szCs w:val="24"/>
          <w:lang w:eastAsia="sk-SK"/>
        </w:rPr>
        <w:t>ak sa klient pri správnom konaní počas obdobia krízovej situácie nedostaví na výzvu úradu, úrad konanie vo veci vyradenia preruší až do skončenia krízového režimu.</w:t>
      </w:r>
    </w:p>
    <w:p>
      <w:pPr>
        <w:spacing w:before="100" w:beforeAutospacing="1" w:after="100" w:afterAutospacing="1"/>
        <w:rPr>
          <w:rFonts w:eastAsia="Times New Roman"/>
          <w:szCs w:val="24"/>
          <w:lang w:eastAsia="sk-SK"/>
        </w:rPr>
      </w:pPr>
      <w:r>
        <w:rPr>
          <w:rFonts w:eastAsia="Times New Roman"/>
          <w:szCs w:val="24"/>
          <w:u w:val="single"/>
          <w:lang w:eastAsia="sk-SK"/>
        </w:rPr>
        <w:t>V oblasti pomoci v hmotnej núdzi, náhradného výživného, štátnych sociálnych dávok, peňažných príspevkov na kompenzáciu ťažkého zdravotného postihnutia, preukazu a parkovacieho preukazu počas krízovej situácie </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úrad akceptuje žiadosti posielané poštou, elektronicky so zaručeným elektronickým podpisom aj e-mailom</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ak klient donesie žiadosť osobne, bude prebraná na recepcii úradu prípadne na inom preberacom mieste zriadenom pri vchode úradu</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lastRenderedPageBreak/>
        <w:t>skutočnosti, rozhodujúce na trvanie nároku na dávky, príspevky, preukaz a parkovací preukaz môže klienti úradu oznamovať poštou, elektronicky so zaručeným elektronickým podpisom, e-mailom alebo telefonicky. Zamestnanec úradu o telefonickom oznámení urobí záznam</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ak klient donesie dokument osobne, bude prebraný na recepcii úradu alebo na inom preberacom mieste pri vchode do úradu na recepcii úradu,</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doklady o výdavkoch na prepravu, výkazy o počte hodín vykonanej osobnej asistencie a potvrdenia o vyplatených odmenách môže klient oznamovať úradu poštou, elektronicky so zaručeným elektronickým podpisom, e-mailom, prípadne osobne na recepcii úradu,</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ak klient počas obdobia krízovej situácie nevyhovie výzve úradu v určenej lehote, na uvedenú povinnosť sa prihliada ako na splnenú, ak výzve vyhovie do 8 pracovných dní od skončenia krízového režimu,</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na povinnosti klienta, vyplývajúce z poskytnutého jednorazového peňažného príspevku na kompenzáciu, musí úrad prihliadať osobitne,</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preukaz a parkovací preukaz na žiadosť klienta úrad vydá</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sociálnu posudkovú činnosť bude úrad vykonávať prioritne telefonicky len v odôvodnených prípadoch za prítomnosti posudzovanej osoby prípadne v jej domácnosti</w:t>
      </w:r>
    </w:p>
    <w:p>
      <w:pPr>
        <w:numPr>
          <w:ilvl w:val="0"/>
          <w:numId w:val="2"/>
        </w:numPr>
        <w:spacing w:before="100" w:beforeAutospacing="1" w:after="100" w:afterAutospacing="1"/>
        <w:rPr>
          <w:rFonts w:eastAsia="Times New Roman"/>
          <w:szCs w:val="24"/>
          <w:lang w:eastAsia="sk-SK"/>
        </w:rPr>
      </w:pPr>
      <w:r>
        <w:rPr>
          <w:rFonts w:eastAsia="Times New Roman"/>
          <w:szCs w:val="24"/>
          <w:lang w:eastAsia="sk-SK"/>
        </w:rPr>
        <w:t>lekársku posudkovú činnosť treba vykonávať za prítomnosti posudzovanej osoby, len ak na osobnom stretnutí napriek krízovej situácii klient naďalej trvá podmienka výkonu činností ako aj  aktivačnej činnosti podľa osobitného predpisu sa bude považovať za splnenú, aj keď sa počas krízovej situácie nebude vykonávať</w:t>
      </w:r>
    </w:p>
    <w:p>
      <w:pPr>
        <w:rPr>
          <w:szCs w:val="24"/>
        </w:rPr>
      </w:pPr>
      <w:bookmarkStart w:id="0" w:name="_GoBack"/>
      <w:bookmarkEnd w:id="0"/>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932F0"/>
    <w:multiLevelType w:val="multilevel"/>
    <w:tmpl w:val="A33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2C6C5C"/>
    <w:multiLevelType w:val="multilevel"/>
    <w:tmpl w:val="A072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pPr>
      <w:spacing w:before="100" w:beforeAutospacing="1" w:after="100" w:afterAutospacing="1"/>
      <w:outlineLvl w:val="0"/>
    </w:pPr>
    <w:rPr>
      <w:rFonts w:eastAsia="Times New Roman"/>
      <w:b/>
      <w:bCs/>
      <w:kern w:val="36"/>
      <w:sz w:val="48"/>
      <w:szCs w:val="48"/>
      <w:lang w:eastAsia="sk-SK"/>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customStyle="1" w:styleId="Nadpis1Char">
    <w:name w:val="Nadpis 1 Char"/>
    <w:basedOn w:val="Predvolenpsmoodseku"/>
    <w:link w:val="Nadpis1"/>
    <w:uiPriority w:val="9"/>
    <w:rPr>
      <w:rFonts w:eastAsia="Times New Roman"/>
      <w:b/>
      <w:bCs/>
      <w:kern w:val="36"/>
      <w:sz w:val="48"/>
      <w:szCs w:val="48"/>
      <w:lang w:eastAsia="sk-SK"/>
    </w:rPr>
  </w:style>
  <w:style w:type="paragraph" w:styleId="Normlnywebov">
    <w:name w:val="Normal (Web)"/>
    <w:basedOn w:val="Normlny"/>
    <w:uiPriority w:val="99"/>
    <w:semiHidden/>
    <w:unhideWhenUsed/>
    <w:pPr>
      <w:spacing w:before="100" w:beforeAutospacing="1" w:after="100" w:afterAutospacing="1"/>
    </w:pPr>
    <w:rPr>
      <w:rFonts w:eastAsia="Times New Roman"/>
      <w:szCs w:val="24"/>
      <w:lang w:eastAsia="sk-SK"/>
    </w:rPr>
  </w:style>
  <w:style w:type="character" w:styleId="Siln">
    <w:name w:val="Strong"/>
    <w:basedOn w:val="Predvolenpsmoodseku"/>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pPr>
      <w:spacing w:before="100" w:beforeAutospacing="1" w:after="100" w:afterAutospacing="1"/>
      <w:outlineLvl w:val="0"/>
    </w:pPr>
    <w:rPr>
      <w:rFonts w:eastAsia="Times New Roman"/>
      <w:b/>
      <w:bCs/>
      <w:kern w:val="36"/>
      <w:sz w:val="48"/>
      <w:szCs w:val="48"/>
      <w:lang w:eastAsia="sk-SK"/>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customStyle="1" w:styleId="Nadpis1Char">
    <w:name w:val="Nadpis 1 Char"/>
    <w:basedOn w:val="Predvolenpsmoodseku"/>
    <w:link w:val="Nadpis1"/>
    <w:uiPriority w:val="9"/>
    <w:rPr>
      <w:rFonts w:eastAsia="Times New Roman"/>
      <w:b/>
      <w:bCs/>
      <w:kern w:val="36"/>
      <w:sz w:val="48"/>
      <w:szCs w:val="48"/>
      <w:lang w:eastAsia="sk-SK"/>
    </w:rPr>
  </w:style>
  <w:style w:type="paragraph" w:styleId="Normlnywebov">
    <w:name w:val="Normal (Web)"/>
    <w:basedOn w:val="Normlny"/>
    <w:uiPriority w:val="99"/>
    <w:semiHidden/>
    <w:unhideWhenUsed/>
    <w:pPr>
      <w:spacing w:before="100" w:beforeAutospacing="1" w:after="100" w:afterAutospacing="1"/>
    </w:pPr>
    <w:rPr>
      <w:rFonts w:eastAsia="Times New Roman"/>
      <w:szCs w:val="24"/>
      <w:lang w:eastAsia="sk-SK"/>
    </w:rPr>
  </w:style>
  <w:style w:type="character" w:styleId="Siln">
    <w:name w:val="Strong"/>
    <w:basedOn w:val="Predvolenpsmoodsek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66892">
      <w:bodyDiv w:val="1"/>
      <w:marLeft w:val="0"/>
      <w:marRight w:val="0"/>
      <w:marTop w:val="0"/>
      <w:marBottom w:val="0"/>
      <w:divBdr>
        <w:top w:val="none" w:sz="0" w:space="0" w:color="auto"/>
        <w:left w:val="none" w:sz="0" w:space="0" w:color="auto"/>
        <w:bottom w:val="none" w:sz="0" w:space="0" w:color="auto"/>
        <w:right w:val="none" w:sz="0" w:space="0" w:color="auto"/>
      </w:divBdr>
      <w:divsChild>
        <w:div w:id="1035160196">
          <w:marLeft w:val="0"/>
          <w:marRight w:val="0"/>
          <w:marTop w:val="0"/>
          <w:marBottom w:val="0"/>
          <w:divBdr>
            <w:top w:val="none" w:sz="0" w:space="0" w:color="auto"/>
            <w:left w:val="none" w:sz="0" w:space="0" w:color="auto"/>
            <w:bottom w:val="none" w:sz="0" w:space="0" w:color="auto"/>
            <w:right w:val="none" w:sz="0" w:space="0" w:color="auto"/>
          </w:divBdr>
          <w:divsChild>
            <w:div w:id="2136827953">
              <w:marLeft w:val="0"/>
              <w:marRight w:val="0"/>
              <w:marTop w:val="0"/>
              <w:marBottom w:val="0"/>
              <w:divBdr>
                <w:top w:val="none" w:sz="0" w:space="0" w:color="auto"/>
                <w:left w:val="none" w:sz="0" w:space="0" w:color="auto"/>
                <w:bottom w:val="none" w:sz="0" w:space="0" w:color="auto"/>
                <w:right w:val="none" w:sz="0" w:space="0" w:color="auto"/>
              </w:divBdr>
              <w:divsChild>
                <w:div w:id="1496146377">
                  <w:marLeft w:val="0"/>
                  <w:marRight w:val="0"/>
                  <w:marTop w:val="0"/>
                  <w:marBottom w:val="0"/>
                  <w:divBdr>
                    <w:top w:val="none" w:sz="0" w:space="0" w:color="auto"/>
                    <w:left w:val="none" w:sz="0" w:space="0" w:color="auto"/>
                    <w:bottom w:val="none" w:sz="0" w:space="0" w:color="auto"/>
                    <w:right w:val="none" w:sz="0" w:space="0" w:color="auto"/>
                  </w:divBdr>
                  <w:divsChild>
                    <w:div w:id="17183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Krčmáriková Marta</dc:creator>
  <cp:lastModifiedBy>Krčmáriková Marta</cp:lastModifiedBy>
  <cp:revision>1</cp:revision>
  <dcterms:created xsi:type="dcterms:W3CDTF">2020-03-10T08:15:00Z</dcterms:created>
  <dcterms:modified xsi:type="dcterms:W3CDTF">2020-03-10T08:16:00Z</dcterms:modified>
</cp:coreProperties>
</file>